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eastAsia="Times New Roman" w:hAnsi="Times New Roman" w:cs="Times New Roman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sz w:val="22"/>
          <w:szCs w:val="22"/>
        </w:rPr>
        <w:t>ело № 5-</w:t>
      </w:r>
      <w:r>
        <w:rPr>
          <w:rFonts w:ascii="Times New Roman" w:eastAsia="Times New Roman" w:hAnsi="Times New Roman" w:cs="Times New Roman"/>
          <w:sz w:val="22"/>
          <w:szCs w:val="22"/>
        </w:rPr>
        <w:t>102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 Нефтеюганск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Нефтеюганского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628309, ХМАО-Югра, г. Нефтеюганск, 1 мкр-н, дом 30</w:t>
      </w:r>
      <w:r>
        <w:rPr>
          <w:rFonts w:ascii="Times New Roman" w:eastAsia="Times New Roman" w:hAnsi="Times New Roman" w:cs="Times New Roman"/>
          <w:sz w:val="26"/>
          <w:szCs w:val="26"/>
        </w:rPr>
        <w:t>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Андрияшева Андрея Юрьевича, </w:t>
      </w:r>
      <w:r>
        <w:rPr>
          <w:rStyle w:val="cat-ExternalSystemDefinedgrp-46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38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работающего </w:t>
      </w:r>
      <w:r>
        <w:rPr>
          <w:rFonts w:ascii="Times New Roman" w:eastAsia="Times New Roman" w:hAnsi="Times New Roman" w:cs="Times New Roman"/>
          <w:sz w:val="25"/>
          <w:szCs w:val="25"/>
        </w:rPr>
        <w:t>генеральным директором ООО «Северавтогрупп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зарегистрированного и проживающего по адресу: </w:t>
      </w:r>
      <w:r>
        <w:rPr>
          <w:rStyle w:val="cat-UserDefinedgrp-49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39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47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8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 С Т А Н О В И 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Андрияшев А.Ю., являясь </w:t>
      </w:r>
      <w:r>
        <w:rPr>
          <w:rFonts w:ascii="Times New Roman" w:eastAsia="Times New Roman" w:hAnsi="Times New Roman" w:cs="Times New Roman"/>
          <w:sz w:val="25"/>
          <w:szCs w:val="25"/>
        </w:rPr>
        <w:t>генеральным директором ООО «Северавтогрупп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расположенного по адресу: </w:t>
      </w:r>
      <w:r>
        <w:rPr>
          <w:rFonts w:ascii="Times New Roman" w:eastAsia="Times New Roman" w:hAnsi="Times New Roman" w:cs="Times New Roman"/>
          <w:sz w:val="25"/>
          <w:szCs w:val="25"/>
        </w:rPr>
        <w:t>ХМАО-Югра, г. Нефтеюганск, ул. Транспортная, стр. 11/1, гараж 113, помещение 2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нарушение п. 7 ст. 431 НК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РФ, до </w:t>
      </w:r>
      <w:r>
        <w:rPr>
          <w:rFonts w:ascii="Times New Roman" w:eastAsia="Times New Roman" w:hAnsi="Times New Roman" w:cs="Times New Roman"/>
          <w:sz w:val="26"/>
          <w:szCs w:val="26"/>
        </w:rPr>
        <w:t>26.01.2023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установленный срок в налоговый орган по месту учета – межрайонную ИФНС России №7 по Ханты-Мансийскому автономному округу – Югре, налоговый расчет по страховым взносам за </w:t>
      </w:r>
      <w:r>
        <w:rPr>
          <w:rFonts w:ascii="Times New Roman" w:eastAsia="Times New Roman" w:hAnsi="Times New Roman" w:cs="Times New Roman"/>
          <w:sz w:val="26"/>
          <w:szCs w:val="26"/>
        </w:rPr>
        <w:t>12 месяцев, квартальный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2022 года. Срок представления налогового расчета по страховым взносам 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12 месяцев, квартальный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2022 года – не позднее 24:00 часов </w:t>
      </w:r>
      <w:r>
        <w:rPr>
          <w:rFonts w:ascii="Times New Roman" w:eastAsia="Times New Roman" w:hAnsi="Times New Roman" w:cs="Times New Roman"/>
          <w:sz w:val="26"/>
          <w:szCs w:val="26"/>
        </w:rPr>
        <w:t>25.01.2023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фактически налоговый расчет по страховым взносам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12 месяцев, квартальный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2022 года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01.02.2023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6"/>
          <w:szCs w:val="26"/>
        </w:rPr>
        <w:t>Андрияшев А.Ю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извещенный надлежащим образом о времени и месте рассмотрения административного материала, не явился, о причинах неявки суд не уведомил, ходатайств об отложении дела от него не поступало. 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Андрияшев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А.Ю</w:t>
      </w:r>
      <w:r>
        <w:rPr>
          <w:rFonts w:ascii="Times New Roman" w:eastAsia="Times New Roman" w:hAnsi="Times New Roman" w:cs="Times New Roman"/>
          <w:sz w:val="26"/>
          <w:szCs w:val="26"/>
        </w:rPr>
        <w:t>. в его отсутствие.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исследовав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Андрияшева А.Ю</w:t>
      </w:r>
      <w:r>
        <w:rPr>
          <w:rFonts w:ascii="Times New Roman" w:eastAsia="Times New Roman" w:hAnsi="Times New Roman" w:cs="Times New Roman"/>
          <w:sz w:val="26"/>
          <w:szCs w:val="26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50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28.09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генеральный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Андрияшев А.Ю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установленный срок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налоговый орган по месту учета – межрайонную ИФНС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России №7 по Ханты-Мансийскому автономному округу – Югре, налоговый расчет по страховым взносам 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12 месяцев, квартальный </w:t>
      </w:r>
      <w:r>
        <w:rPr>
          <w:rFonts w:ascii="Times New Roman" w:eastAsia="Times New Roman" w:hAnsi="Times New Roman" w:cs="Times New Roman"/>
          <w:sz w:val="26"/>
          <w:szCs w:val="26"/>
        </w:rPr>
        <w:t>2022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- списком внутренних почтовых отправлений о направлении копии протокола об административном правонарушении;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уведомлением о времени и месте составления протокола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.09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списком внутренних почтовых отправлений о направлении уведомления о времени и месте составления протокола; отчетом об отслеживании отправления с почтовым идентификатором;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квитанцией о приеме налоговой декларации </w:t>
      </w:r>
      <w:r>
        <w:rPr>
          <w:rFonts w:ascii="Times New Roman" w:eastAsia="Times New Roman" w:hAnsi="Times New Roman" w:cs="Times New Roman"/>
          <w:sz w:val="26"/>
          <w:szCs w:val="26"/>
        </w:rPr>
        <w:t>(расчета) в электронном виде 01.02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выпиской из Единого государст</w:t>
      </w:r>
      <w:r>
        <w:rPr>
          <w:rFonts w:ascii="Times New Roman" w:eastAsia="Times New Roman" w:hAnsi="Times New Roman" w:cs="Times New Roman"/>
          <w:sz w:val="26"/>
          <w:szCs w:val="26"/>
        </w:rPr>
        <w:t>венного реестра юридических лиц.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подп. 4 п. 3 ст. 24 Налогового кодекса РФ, налоговые агенты обязаны предоставить в налоговый орган по месту своего учета документы, необходи</w:t>
      </w:r>
      <w:r>
        <w:rPr>
          <w:rFonts w:ascii="Times New Roman" w:eastAsia="Times New Roman" w:hAnsi="Times New Roman" w:cs="Times New Roman"/>
          <w:sz w:val="26"/>
          <w:szCs w:val="26"/>
        </w:rPr>
        <w:t>мые для осуществления контроля,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правильностью исчисления, удержания и перечисления налогов.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Согласно подп. 3 п. 3.4 ст.23 Налогового кодекса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плательщики страховых взносов обязаны представлять в установленном порядке в налоговый орган по месту учета расчеты по страховым взносам.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 1 ст. 419 Налогового кодексаплательщиками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 7 ст. 431 Налогового кодекса РФ плательщики, указанные в п.п. 1 п. 1 ст. 419 настоящего Кодекса (за исключением физических лиц, производящих выплаты, указанные в п.п. 3 п. 3 ст. 422НК РФ), представляют расчет по страховым взносам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Согласно ст. 423 Налогового кодекса РФ, расчетным периодом признается календарный год; отчетными периодами признаются первый квартал, полугодие, девять месяцев календарного года.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Пунктом 7 статьи 3 Федерального закона от 06.12.2011 г. № 402-ФЗ «О бухгалтерском учете», определено, что руководитель экономического субъекта - лицо, являющееся единоличным исполнительным органом экономического субъекта, либо лицо, ответственное за ведение дел экономического субъекта, либо управляющий, которому переданы функции единоличного исполнительного органа.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Согласно ч. 1 ст. 7 Федерального закона от 06.12.2011 года № 402-ФЗ «О бухгалтерском учете», ведение бухгалтерского учета и хранение документов бухгалтерского учёта организуется руководителем экономического субъекта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должностного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Андрияшева А.Ю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ст. 15.5 Кодекса Российской Федерации об административных правонарушениях, как 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судья учитывает характер совершенного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Андрияшева А.Ю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и отягчающих административную ответственность в соответствии со ст.ст. 4.2, 4.3 Кодекса Российской Федерации об административных правонарушениях, мировой судья не находит.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установленные обстоятельства, мировой судья считает возможным назначить правонарушителю наказание в виде предупреждения. 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 учётом изложенного, руководствуясь ст.ст. 29.9 ч.1, 29.10, 30.1 Кодекса Российской Федерации об административных правонарушениях, мировой судья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И 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генерального директора ООО «Северавтогрупп» Андрияшева Андрея Юрьевича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ему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 в виде предупреждения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tabs>
          <w:tab w:val="left" w:pos="6390"/>
        </w:tabs>
        <w:spacing w:before="0" w:after="0"/>
        <w:ind w:left="283" w:hanging="283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                         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ind w:left="283" w:hanging="283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426"/>
          <w:tab w:val="left" w:pos="709"/>
          <w:tab w:val="left" w:pos="993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426"/>
          <w:tab w:val="left" w:pos="993"/>
          <w:tab w:val="left" w:pos="1276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567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567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567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20813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97"/>
        <w:gridCol w:w="5547"/>
        <w:gridCol w:w="4820"/>
        <w:gridCol w:w="5649"/>
      </w:tblGrid>
      <w:tr>
        <w:tblPrEx>
          <w:tblW w:w="20813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9"/>
        </w:trPr>
        <w:tc>
          <w:tcPr>
            <w:tcW w:w="4786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</w:tc>
        <w:tc>
          <w:tcPr>
            <w:tcW w:w="5562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ind w:left="21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ind w:left="263" w:hanging="263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  <w:tc>
          <w:tcPr>
            <w:tcW w:w="567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</w:tr>
    </w:tbl>
    <w:p>
      <w:pPr>
        <w:spacing w:before="0" w:after="0"/>
        <w:ind w:left="567" w:hanging="283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46rplc-6">
    <w:name w:val="cat-ExternalSystemDefined grp-46 rplc-6"/>
    <w:basedOn w:val="DefaultParagraphFont"/>
  </w:style>
  <w:style w:type="character" w:customStyle="1" w:styleId="cat-PassportDatagrp-38rplc-7">
    <w:name w:val="cat-PassportData grp-38 rplc-7"/>
    <w:basedOn w:val="DefaultParagraphFont"/>
  </w:style>
  <w:style w:type="character" w:customStyle="1" w:styleId="cat-UserDefinedgrp-49rplc-9">
    <w:name w:val="cat-UserDefined grp-49 rplc-9"/>
    <w:basedOn w:val="DefaultParagraphFont"/>
  </w:style>
  <w:style w:type="character" w:customStyle="1" w:styleId="cat-PassportDatagrp-39rplc-11">
    <w:name w:val="cat-PassportData grp-39 rplc-11"/>
    <w:basedOn w:val="DefaultParagraphFont"/>
  </w:style>
  <w:style w:type="character" w:customStyle="1" w:styleId="cat-ExternalSystemDefinedgrp-47rplc-12">
    <w:name w:val="cat-ExternalSystemDefined grp-47 rplc-12"/>
    <w:basedOn w:val="DefaultParagraphFont"/>
  </w:style>
  <w:style w:type="character" w:customStyle="1" w:styleId="cat-ExternalSystemDefinedgrp-48rplc-13">
    <w:name w:val="cat-ExternalSystemDefined grp-48 rplc-13"/>
    <w:basedOn w:val="DefaultParagraphFont"/>
  </w:style>
  <w:style w:type="character" w:customStyle="1" w:styleId="cat-UserDefinedgrp-50rplc-29">
    <w:name w:val="cat-UserDefined grp-50 rplc-29"/>
    <w:basedOn w:val="DefaultParagraphFont"/>
  </w:style>
  <w:style w:type="character" w:customStyle="1" w:styleId="cat-UserDefinedgrp-51rplc-45">
    <w:name w:val="cat-UserDefined grp-51 rplc-45"/>
    <w:basedOn w:val="DefaultParagraphFont"/>
  </w:style>
  <w:style w:type="character" w:customStyle="1" w:styleId="cat-UserDefinedgrp-52rplc-48">
    <w:name w:val="cat-UserDefined grp-52 rplc-4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